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4831169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9826B5">
        <w:rPr>
          <w:rFonts w:ascii="Century Gothic" w:hAnsi="Century Gothic"/>
          <w:b/>
          <w:sz w:val="24"/>
          <w:szCs w:val="24"/>
        </w:rPr>
        <w:t xml:space="preserve"> Cuarta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826B5">
        <w:rPr>
          <w:rFonts w:ascii="Century Gothic" w:hAnsi="Century Gothic"/>
          <w:b/>
          <w:sz w:val="24"/>
          <w:szCs w:val="24"/>
        </w:rPr>
        <w:t>cinco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826B5" w:rsidRDefault="009826B5" w:rsidP="009826B5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826B5" w:rsidRDefault="009826B5" w:rsidP="009826B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826B5" w:rsidRDefault="009826B5" w:rsidP="009826B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5107/2020 que remite el Secretario de Acuerdos del Tercer Tribunal Colegiado en Materia Administrativa del Tercer Circuito, relativo al Juicio de Amparo número 102/2019, mediante el cual requiere a este Tribunal por el cumplimiento de la ejecutoria del juicio de amparo referido.</w:t>
      </w:r>
    </w:p>
    <w:p w:rsidR="00E86C1F" w:rsidRPr="009826B5" w:rsidRDefault="009826B5" w:rsidP="009826B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826B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948/2018 en cumplimiento al Juicio de Amparo 102/2019 del Tercer Tribunal Colegiado en Materia Administrativa del Tercer Circuito</w:t>
      </w:r>
      <w:r w:rsidR="00D02884" w:rsidRPr="009826B5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826B5">
        <w:rPr>
          <w:rFonts w:ascii="Century Gothic" w:hAnsi="Century Gothic"/>
          <w:b/>
          <w:sz w:val="24"/>
          <w:szCs w:val="24"/>
        </w:rPr>
        <w:t>DOS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4831169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7C2B-C5F0-4A61-AC12-9693BB10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2020-10-19T20:57:00Z</dcterms:created>
  <dcterms:modified xsi:type="dcterms:W3CDTF">2020-10-19T20:57:00Z</dcterms:modified>
</cp:coreProperties>
</file>